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E1" w:rsidRDefault="00BC01E1" w:rsidP="00472CDB">
      <w:pPr>
        <w:spacing w:line="360" w:lineRule="auto"/>
      </w:pPr>
      <w:r>
        <w:rPr>
          <w:rFonts w:ascii="Arial" w:hAnsi="Arial" w:cs="Arial"/>
          <w:noProof/>
          <w:sz w:val="22"/>
          <w:szCs w:val="22"/>
          <w:lang w:eastAsia="zh-CN"/>
        </w:rPr>
        <mc:AlternateContent>
          <mc:Choice Requires="wps">
            <w:drawing>
              <wp:anchor distT="0" distB="0" distL="114300" distR="114300" simplePos="0" relativeHeight="251661312" behindDoc="0" locked="0" layoutInCell="1" allowOverlap="1" wp14:anchorId="7BA63947" wp14:editId="32F0607D">
                <wp:simplePos x="0" y="0"/>
                <wp:positionH relativeFrom="column">
                  <wp:posOffset>320675</wp:posOffset>
                </wp:positionH>
                <wp:positionV relativeFrom="paragraph">
                  <wp:posOffset>282575</wp:posOffset>
                </wp:positionV>
                <wp:extent cx="4318635" cy="8458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318635" cy="845820"/>
                        </a:xfrm>
                        <a:prstGeom prst="rect">
                          <a:avLst/>
                        </a:prstGeom>
                        <a:solidFill>
                          <a:schemeClr val="lt1"/>
                        </a:solidFill>
                        <a:ln w="6350">
                          <a:noFill/>
                        </a:ln>
                      </wps:spPr>
                      <wps:txbx>
                        <w:txbxContent>
                          <w:p w:rsidR="00BC01E1" w:rsidRDefault="00BC01E1" w:rsidP="00BC01E1">
                            <w:pPr>
                              <w:pStyle w:val="NoSpacing"/>
                              <w:spacing w:line="276" w:lineRule="auto"/>
                              <w:jc w:val="center"/>
                              <w:rPr>
                                <w:rFonts w:ascii="Arial" w:hAnsi="Arial" w:cs="Arial"/>
                                <w:b/>
                                <w:color w:val="000000" w:themeColor="text1"/>
                                <w:sz w:val="40"/>
                                <w:szCs w:val="40"/>
                              </w:rPr>
                            </w:pPr>
                            <w:r>
                              <w:rPr>
                                <w:rFonts w:ascii="Arial" w:hAnsi="Arial" w:cs="Arial"/>
                                <w:b/>
                                <w:color w:val="000000" w:themeColor="text1"/>
                                <w:sz w:val="40"/>
                                <w:szCs w:val="40"/>
                              </w:rPr>
                              <w:t xml:space="preserve">HathiTrust Research Center </w:t>
                            </w:r>
                          </w:p>
                          <w:p w:rsidR="00BC01E1" w:rsidRPr="003C052E" w:rsidRDefault="00BC01E1" w:rsidP="00BC01E1">
                            <w:pPr>
                              <w:pStyle w:val="NoSpacing"/>
                              <w:spacing w:line="276" w:lineRule="auto"/>
                              <w:jc w:val="center"/>
                              <w:rPr>
                                <w:color w:val="000000" w:themeColor="text1"/>
                              </w:rPr>
                            </w:pPr>
                            <w:r>
                              <w:rPr>
                                <w:rFonts w:ascii="Arial" w:hAnsi="Arial" w:cs="Arial"/>
                                <w:b/>
                                <w:color w:val="000000" w:themeColor="text1"/>
                                <w:sz w:val="40"/>
                                <w:szCs w:val="40"/>
                              </w:rPr>
                              <w:t>Workshop Materials Re-use Guide</w:t>
                            </w: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Pr="003C052E" w:rsidRDefault="00BC01E1" w:rsidP="00BC01E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63947" id="_x0000_t202" coordsize="21600,21600" o:spt="202" path="m,l,21600r21600,l21600,xe">
                <v:stroke joinstyle="miter"/>
                <v:path gradientshapeok="t" o:connecttype="rect"/>
              </v:shapetype>
              <v:shape id="Text Box 1" o:spid="_x0000_s1026" type="#_x0000_t202" style="position:absolute;margin-left:25.25pt;margin-top:22.25pt;width:340.0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" fillcolor="white [3201]" stroked="f" strokeweight=".5pt">
                <v:textbox>
                  <w:txbxContent>
                    <w:p w:rsidR="00BC01E1" w:rsidRDefault="00BC01E1" w:rsidP="00BC01E1">
                      <w:pPr>
                        <w:pStyle w:val="NoSpacing"/>
                        <w:spacing w:line="276" w:lineRule="auto"/>
                        <w:jc w:val="center"/>
                        <w:rPr>
                          <w:rFonts w:ascii="Arial" w:hAnsi="Arial" w:cs="Arial"/>
                          <w:b/>
                          <w:color w:val="000000" w:themeColor="text1"/>
                          <w:sz w:val="40"/>
                          <w:szCs w:val="40"/>
                        </w:rPr>
                      </w:pPr>
                      <w:r>
                        <w:rPr>
                          <w:rFonts w:ascii="Arial" w:hAnsi="Arial" w:cs="Arial"/>
                          <w:b/>
                          <w:color w:val="000000" w:themeColor="text1"/>
                          <w:sz w:val="40"/>
                          <w:szCs w:val="40"/>
                        </w:rPr>
                        <w:t xml:space="preserve">HathiTrust Research Center </w:t>
                      </w:r>
                    </w:p>
                    <w:p w:rsidR="00BC01E1" w:rsidRPr="003C052E" w:rsidRDefault="00BC01E1" w:rsidP="00BC01E1">
                      <w:pPr>
                        <w:pStyle w:val="NoSpacing"/>
                        <w:spacing w:line="276" w:lineRule="auto"/>
                        <w:jc w:val="center"/>
                        <w:rPr>
                          <w:color w:val="000000" w:themeColor="text1"/>
                        </w:rPr>
                      </w:pPr>
                      <w:r>
                        <w:rPr>
                          <w:rFonts w:ascii="Arial" w:hAnsi="Arial" w:cs="Arial"/>
                          <w:b/>
                          <w:color w:val="000000" w:themeColor="text1"/>
                          <w:sz w:val="40"/>
                          <w:szCs w:val="40"/>
                        </w:rPr>
                        <w:t>Workshop Materials Re-use Guide</w:t>
                      </w: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Default="00BC01E1" w:rsidP="00BC01E1">
                      <w:pPr>
                        <w:rPr>
                          <w:color w:val="000000" w:themeColor="text1"/>
                        </w:rPr>
                      </w:pPr>
                    </w:p>
                    <w:p w:rsidR="00BC01E1" w:rsidRPr="003C052E" w:rsidRDefault="00BC01E1" w:rsidP="00BC01E1">
                      <w:pPr>
                        <w:rPr>
                          <w:color w:val="000000" w:themeColor="text1"/>
                        </w:rPr>
                      </w:pPr>
                    </w:p>
                  </w:txbxContent>
                </v:textbox>
                <w10:wrap type="square"/>
              </v:shape>
            </w:pict>
          </mc:Fallback>
        </mc:AlternateContent>
      </w:r>
      <w:r w:rsidRPr="00F526CF">
        <w:rPr>
          <w:rFonts w:ascii="Arial" w:hAnsi="Arial" w:cs="Arial"/>
          <w:noProof/>
          <w:sz w:val="22"/>
          <w:szCs w:val="22"/>
          <w:lang w:eastAsia="zh-CN"/>
        </w:rPr>
        <w:drawing>
          <wp:anchor distT="0" distB="0" distL="114300" distR="114300" simplePos="0" relativeHeight="251659264" behindDoc="1" locked="0" layoutInCell="1" allowOverlap="1" wp14:anchorId="05B66438" wp14:editId="412F5B09">
            <wp:simplePos x="0" y="0"/>
            <wp:positionH relativeFrom="column">
              <wp:posOffset>4678477</wp:posOffset>
            </wp:positionH>
            <wp:positionV relativeFrom="paragraph">
              <wp:posOffset>174625</wp:posOffset>
            </wp:positionV>
            <wp:extent cx="964565" cy="996950"/>
            <wp:effectExtent l="0" t="0" r="635" b="635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5"/>
                    <a:stretch>
                      <a:fillRect/>
                    </a:stretch>
                  </pic:blipFill>
                  <pic:spPr>
                    <a:xfrm>
                      <a:off x="0" y="0"/>
                      <a:ext cx="964565" cy="996950"/>
                    </a:xfrm>
                    <a:prstGeom prst="rect">
                      <a:avLst/>
                    </a:prstGeom>
                  </pic:spPr>
                </pic:pic>
              </a:graphicData>
            </a:graphic>
            <wp14:sizeRelH relativeFrom="page">
              <wp14:pctWidth>0</wp14:pctWidth>
            </wp14:sizeRelH>
            <wp14:sizeRelV relativeFrom="page">
              <wp14:pctHeight>0</wp14:pctHeight>
            </wp14:sizeRelV>
          </wp:anchor>
        </w:drawing>
      </w:r>
    </w:p>
    <w:p w:rsidR="003144E7" w:rsidRDefault="003144E7" w:rsidP="00472CDB">
      <w:pPr>
        <w:spacing w:line="360" w:lineRule="auto"/>
        <w:rPr>
          <w:rFonts w:ascii="Arial" w:hAnsi="Arial" w:cs="Arial"/>
          <w:sz w:val="22"/>
          <w:szCs w:val="22"/>
        </w:rPr>
      </w:pPr>
    </w:p>
    <w:p w:rsidR="003144E7" w:rsidRDefault="003144E7" w:rsidP="00472CDB">
      <w:pPr>
        <w:spacing w:line="360" w:lineRule="auto"/>
        <w:rPr>
          <w:rFonts w:ascii="Arial" w:hAnsi="Arial" w:cs="Arial"/>
          <w:sz w:val="22"/>
          <w:szCs w:val="22"/>
        </w:rPr>
      </w:pPr>
      <w:r>
        <w:rPr>
          <w:rFonts w:ascii="Arial" w:hAnsi="Arial" w:cs="Arial"/>
          <w:sz w:val="22"/>
          <w:szCs w:val="22"/>
        </w:rPr>
        <w:t xml:space="preserve">Up-to-date HTRC workshop materials exist for two workshop versions that can be re-mixed for different workshop lengths and audiences. </w:t>
      </w:r>
    </w:p>
    <w:p w:rsidR="00F904BD" w:rsidRDefault="00F904BD" w:rsidP="00472CDB">
      <w:pPr>
        <w:spacing w:line="360" w:lineRule="auto"/>
        <w:rPr>
          <w:rFonts w:ascii="Arial" w:hAnsi="Arial" w:cs="Arial"/>
          <w:sz w:val="22"/>
          <w:szCs w:val="22"/>
        </w:rPr>
      </w:pPr>
    </w:p>
    <w:p w:rsidR="003144E7" w:rsidRPr="003144E7" w:rsidRDefault="003144E7" w:rsidP="00472CDB">
      <w:pPr>
        <w:pStyle w:val="ListParagraph"/>
        <w:numPr>
          <w:ilvl w:val="0"/>
          <w:numId w:val="4"/>
        </w:numPr>
        <w:spacing w:line="360" w:lineRule="auto"/>
        <w:rPr>
          <w:rFonts w:ascii="Arial" w:hAnsi="Arial" w:cs="Arial"/>
          <w:sz w:val="22"/>
          <w:szCs w:val="22"/>
        </w:rPr>
      </w:pPr>
      <w:r w:rsidRPr="003144E7">
        <w:rPr>
          <w:rFonts w:ascii="Arial" w:hAnsi="Arial" w:cs="Arial"/>
          <w:sz w:val="22"/>
          <w:szCs w:val="22"/>
        </w:rPr>
        <w:t xml:space="preserve">Full day workshop: </w:t>
      </w:r>
      <w:r w:rsidRPr="003144E7">
        <w:rPr>
          <w:rFonts w:ascii="Arial" w:hAnsi="Arial" w:cs="Arial"/>
          <w:i/>
          <w:sz w:val="22"/>
          <w:szCs w:val="22"/>
        </w:rPr>
        <w:t>Text mining with HathiTrust: An Introduction for Librarians</w:t>
      </w:r>
    </w:p>
    <w:p w:rsidR="003144E7" w:rsidRPr="00472CDB" w:rsidRDefault="003144E7" w:rsidP="00472CDB">
      <w:pPr>
        <w:pStyle w:val="ListParagraph"/>
        <w:numPr>
          <w:ilvl w:val="0"/>
          <w:numId w:val="4"/>
        </w:numPr>
        <w:spacing w:line="360" w:lineRule="auto"/>
        <w:rPr>
          <w:rFonts w:ascii="Arial" w:hAnsi="Arial" w:cs="Arial"/>
          <w:sz w:val="22"/>
          <w:szCs w:val="22"/>
        </w:rPr>
      </w:pPr>
      <w:r w:rsidRPr="003144E7">
        <w:rPr>
          <w:rFonts w:ascii="Arial" w:hAnsi="Arial" w:cs="Arial"/>
          <w:sz w:val="22"/>
          <w:szCs w:val="22"/>
        </w:rPr>
        <w:t xml:space="preserve">½ day workshop: </w:t>
      </w:r>
      <w:r w:rsidRPr="003144E7">
        <w:rPr>
          <w:rFonts w:ascii="Arial" w:hAnsi="Arial" w:cs="Arial"/>
          <w:i/>
          <w:sz w:val="22"/>
          <w:szCs w:val="22"/>
        </w:rPr>
        <w:t>HathiTrust’s Data and Analysis Tools for Text Mining Research</w:t>
      </w:r>
    </w:p>
    <w:p w:rsidR="00472CDB" w:rsidRDefault="00472CDB" w:rsidP="00472CDB">
      <w:pPr>
        <w:spacing w:line="360" w:lineRule="auto"/>
        <w:rPr>
          <w:rFonts w:ascii="Arial" w:hAnsi="Arial" w:cs="Arial"/>
          <w:sz w:val="22"/>
          <w:szCs w:val="22"/>
        </w:rPr>
      </w:pPr>
    </w:p>
    <w:p w:rsidR="003144E7" w:rsidRDefault="00472CDB" w:rsidP="00472CDB">
      <w:pPr>
        <w:spacing w:line="360" w:lineRule="auto"/>
        <w:rPr>
          <w:rFonts w:ascii="Arial" w:hAnsi="Arial" w:cs="Arial"/>
          <w:sz w:val="22"/>
          <w:szCs w:val="22"/>
        </w:rPr>
      </w:pPr>
      <w:r>
        <w:rPr>
          <w:rFonts w:ascii="Arial" w:hAnsi="Arial" w:cs="Arial"/>
          <w:sz w:val="22"/>
          <w:szCs w:val="22"/>
        </w:rPr>
        <w:t xml:space="preserve">All workshop materials are intended to be reused as desired, without permission, though we do appreciate hearing how they have been used. </w:t>
      </w:r>
    </w:p>
    <w:p w:rsidR="00472CDB" w:rsidRDefault="00472CDB" w:rsidP="00472CDB">
      <w:pPr>
        <w:spacing w:line="360" w:lineRule="auto"/>
        <w:rPr>
          <w:rFonts w:ascii="Arial" w:hAnsi="Arial" w:cs="Arial"/>
          <w:sz w:val="22"/>
          <w:szCs w:val="22"/>
        </w:rPr>
      </w:pPr>
    </w:p>
    <w:p w:rsidR="003144E7" w:rsidRPr="00967133" w:rsidRDefault="003144E7" w:rsidP="00472CDB">
      <w:pPr>
        <w:spacing w:line="360" w:lineRule="auto"/>
        <w:rPr>
          <w:rFonts w:ascii="Arial" w:hAnsi="Arial" w:cs="Arial"/>
          <w:sz w:val="36"/>
          <w:szCs w:val="36"/>
        </w:rPr>
      </w:pPr>
      <w:r w:rsidRPr="00967133">
        <w:rPr>
          <w:rFonts w:ascii="Arial" w:hAnsi="Arial" w:cs="Arial"/>
          <w:sz w:val="36"/>
          <w:szCs w:val="36"/>
        </w:rPr>
        <w:t>Available materials:</w:t>
      </w:r>
    </w:p>
    <w:p w:rsidR="003144E7" w:rsidRDefault="003144E7" w:rsidP="00472CDB">
      <w:pPr>
        <w:spacing w:line="360" w:lineRule="auto"/>
        <w:rPr>
          <w:rFonts w:ascii="Arial" w:hAnsi="Arial" w:cs="Arial"/>
          <w:sz w:val="22"/>
          <w:szCs w:val="22"/>
        </w:rPr>
      </w:pPr>
      <w:r>
        <w:rPr>
          <w:rFonts w:ascii="Arial" w:hAnsi="Arial" w:cs="Arial"/>
          <w:sz w:val="22"/>
          <w:szCs w:val="22"/>
        </w:rPr>
        <w:t>Materials ar</w:t>
      </w:r>
      <w:r w:rsidR="006669B0">
        <w:rPr>
          <w:rFonts w:ascii="Arial" w:hAnsi="Arial" w:cs="Arial"/>
          <w:sz w:val="22"/>
          <w:szCs w:val="22"/>
        </w:rPr>
        <w:t>e currently stored in Box (</w:t>
      </w:r>
      <w:hyperlink r:id="rId6" w:history="1">
        <w:r w:rsidR="006669B0" w:rsidRPr="006669B0">
          <w:rPr>
            <w:rStyle w:val="Hyperlink"/>
            <w:rFonts w:ascii="Arial" w:hAnsi="Arial" w:cs="Arial"/>
            <w:sz w:val="22"/>
            <w:szCs w:val="22"/>
          </w:rPr>
          <w:t>https://uofi.box.com/v/HTRC-fall2019</w:t>
        </w:r>
      </w:hyperlink>
      <w:r w:rsidR="006669B0">
        <w:rPr>
          <w:rFonts w:ascii="Arial" w:hAnsi="Arial" w:cs="Arial"/>
          <w:sz w:val="22"/>
          <w:szCs w:val="22"/>
        </w:rPr>
        <w:t>)</w:t>
      </w:r>
      <w:r w:rsidR="00472CDB">
        <w:rPr>
          <w:rFonts w:ascii="Arial" w:hAnsi="Arial" w:cs="Arial"/>
          <w:sz w:val="22"/>
          <w:szCs w:val="22"/>
        </w:rPr>
        <w:t>.</w:t>
      </w:r>
      <w:r>
        <w:rPr>
          <w:rFonts w:ascii="Arial" w:hAnsi="Arial" w:cs="Arial"/>
          <w:sz w:val="22"/>
          <w:szCs w:val="22"/>
        </w:rPr>
        <w:t xml:space="preserve"> They include:</w:t>
      </w:r>
    </w:p>
    <w:p w:rsidR="006669B0" w:rsidRPr="006669B0" w:rsidRDefault="003144E7" w:rsidP="006669B0">
      <w:pPr>
        <w:pStyle w:val="ListParagraph"/>
        <w:numPr>
          <w:ilvl w:val="0"/>
          <w:numId w:val="2"/>
        </w:numPr>
        <w:spacing w:line="360" w:lineRule="auto"/>
        <w:rPr>
          <w:rFonts w:ascii="Arial" w:hAnsi="Arial" w:cs="Arial"/>
          <w:sz w:val="22"/>
          <w:szCs w:val="22"/>
        </w:rPr>
      </w:pPr>
      <w:r>
        <w:rPr>
          <w:rFonts w:ascii="Arial" w:hAnsi="Arial" w:cs="Arial"/>
          <w:sz w:val="22"/>
          <w:szCs w:val="22"/>
        </w:rPr>
        <w:t>Slides (for both</w:t>
      </w:r>
      <w:r w:rsidR="00472CDB">
        <w:rPr>
          <w:rFonts w:ascii="Arial" w:hAnsi="Arial" w:cs="Arial"/>
          <w:sz w:val="22"/>
          <w:szCs w:val="22"/>
        </w:rPr>
        <w:t xml:space="preserve"> workshops</w:t>
      </w:r>
      <w:r>
        <w:rPr>
          <w:rFonts w:ascii="Arial" w:hAnsi="Arial" w:cs="Arial"/>
          <w:sz w:val="22"/>
          <w:szCs w:val="22"/>
        </w:rPr>
        <w:t>)</w:t>
      </w:r>
      <w:r w:rsidR="006669B0">
        <w:rPr>
          <w:rFonts w:ascii="Arial" w:hAnsi="Arial" w:cs="Arial"/>
          <w:sz w:val="22"/>
          <w:szCs w:val="22"/>
        </w:rPr>
        <w:t xml:space="preserve"> – in PDF and Word formats</w:t>
      </w:r>
    </w:p>
    <w:p w:rsidR="003144E7" w:rsidRPr="006669B0" w:rsidRDefault="003144E7" w:rsidP="006669B0">
      <w:pPr>
        <w:pStyle w:val="ListParagraph"/>
        <w:numPr>
          <w:ilvl w:val="0"/>
          <w:numId w:val="2"/>
        </w:numPr>
        <w:spacing w:line="360" w:lineRule="auto"/>
        <w:rPr>
          <w:rFonts w:ascii="Arial" w:hAnsi="Arial" w:cs="Arial"/>
          <w:sz w:val="22"/>
          <w:szCs w:val="22"/>
        </w:rPr>
      </w:pPr>
      <w:r>
        <w:rPr>
          <w:rFonts w:ascii="Arial" w:hAnsi="Arial" w:cs="Arial"/>
          <w:sz w:val="22"/>
          <w:szCs w:val="22"/>
        </w:rPr>
        <w:t>Handouts (for both</w:t>
      </w:r>
      <w:r w:rsidR="00472CDB">
        <w:rPr>
          <w:rFonts w:ascii="Arial" w:hAnsi="Arial" w:cs="Arial"/>
          <w:sz w:val="22"/>
          <w:szCs w:val="22"/>
        </w:rPr>
        <w:t xml:space="preserve"> workshops</w:t>
      </w:r>
      <w:r>
        <w:rPr>
          <w:rFonts w:ascii="Arial" w:hAnsi="Arial" w:cs="Arial"/>
          <w:sz w:val="22"/>
          <w:szCs w:val="22"/>
        </w:rPr>
        <w:t>)</w:t>
      </w:r>
      <w:r w:rsidR="006669B0">
        <w:rPr>
          <w:rFonts w:ascii="Arial" w:hAnsi="Arial" w:cs="Arial"/>
          <w:sz w:val="22"/>
          <w:szCs w:val="22"/>
        </w:rPr>
        <w:t xml:space="preserve"> – in PDF and Word formats</w:t>
      </w:r>
    </w:p>
    <w:p w:rsidR="00472CDB" w:rsidRPr="006669B0" w:rsidRDefault="006669B0" w:rsidP="006669B0">
      <w:pPr>
        <w:pStyle w:val="ListParagraph"/>
        <w:numPr>
          <w:ilvl w:val="0"/>
          <w:numId w:val="2"/>
        </w:numPr>
        <w:spacing w:line="360" w:lineRule="auto"/>
        <w:rPr>
          <w:rFonts w:ascii="Arial" w:hAnsi="Arial" w:cs="Arial"/>
          <w:sz w:val="22"/>
          <w:szCs w:val="22"/>
        </w:rPr>
      </w:pPr>
      <w:r>
        <w:rPr>
          <w:rFonts w:ascii="Arial" w:hAnsi="Arial" w:cs="Arial"/>
          <w:sz w:val="22"/>
          <w:szCs w:val="22"/>
        </w:rPr>
        <w:t>Jupyter notebook a</w:t>
      </w:r>
      <w:r w:rsidR="003144E7">
        <w:rPr>
          <w:rFonts w:ascii="Arial" w:hAnsi="Arial" w:cs="Arial"/>
          <w:sz w:val="22"/>
          <w:szCs w:val="22"/>
        </w:rPr>
        <w:t>ctivities (for both</w:t>
      </w:r>
      <w:r w:rsidR="00472CDB">
        <w:rPr>
          <w:rFonts w:ascii="Arial" w:hAnsi="Arial" w:cs="Arial"/>
          <w:sz w:val="22"/>
          <w:szCs w:val="22"/>
        </w:rPr>
        <w:t xml:space="preserve"> workshops</w:t>
      </w:r>
      <w:r w:rsidR="003144E7">
        <w:rPr>
          <w:rFonts w:ascii="Arial" w:hAnsi="Arial" w:cs="Arial"/>
          <w:sz w:val="22"/>
          <w:szCs w:val="22"/>
        </w:rPr>
        <w:t>)</w:t>
      </w:r>
    </w:p>
    <w:p w:rsidR="003144E7" w:rsidRPr="00472CDB" w:rsidRDefault="003144E7" w:rsidP="00472CDB">
      <w:pPr>
        <w:pStyle w:val="ListParagraph"/>
        <w:numPr>
          <w:ilvl w:val="0"/>
          <w:numId w:val="2"/>
        </w:numPr>
        <w:spacing w:line="360" w:lineRule="auto"/>
        <w:rPr>
          <w:rFonts w:ascii="Arial" w:hAnsi="Arial" w:cs="Arial"/>
          <w:sz w:val="22"/>
          <w:szCs w:val="22"/>
        </w:rPr>
      </w:pPr>
      <w:r>
        <w:rPr>
          <w:rFonts w:ascii="Arial" w:hAnsi="Arial" w:cs="Arial"/>
          <w:sz w:val="22"/>
          <w:szCs w:val="22"/>
        </w:rPr>
        <w:t>3 case studies</w:t>
      </w:r>
    </w:p>
    <w:p w:rsidR="003144E7" w:rsidRDefault="003144E7" w:rsidP="00472CDB">
      <w:pPr>
        <w:spacing w:line="360" w:lineRule="auto"/>
        <w:rPr>
          <w:rFonts w:ascii="Arial" w:hAnsi="Arial" w:cs="Arial"/>
          <w:sz w:val="22"/>
          <w:szCs w:val="22"/>
        </w:rPr>
      </w:pPr>
    </w:p>
    <w:p w:rsidR="00E662C0" w:rsidRPr="006669B0" w:rsidRDefault="003144E7" w:rsidP="00472CDB">
      <w:pPr>
        <w:spacing w:line="360" w:lineRule="auto"/>
        <w:rPr>
          <w:rFonts w:ascii="Arial" w:hAnsi="Arial" w:cs="Arial"/>
          <w:sz w:val="28"/>
          <w:szCs w:val="28"/>
        </w:rPr>
      </w:pPr>
      <w:r w:rsidRPr="006669B0">
        <w:rPr>
          <w:rFonts w:ascii="Arial" w:hAnsi="Arial" w:cs="Arial"/>
          <w:sz w:val="28"/>
          <w:szCs w:val="28"/>
        </w:rPr>
        <w:t>Slides</w:t>
      </w:r>
      <w:r w:rsidR="00472CDB" w:rsidRPr="006669B0">
        <w:rPr>
          <w:rFonts w:ascii="Arial" w:hAnsi="Arial" w:cs="Arial"/>
          <w:sz w:val="28"/>
          <w:szCs w:val="28"/>
        </w:rPr>
        <w:t xml:space="preserve"> &amp; content</w:t>
      </w:r>
    </w:p>
    <w:p w:rsidR="00472CDB" w:rsidRDefault="00E662C0" w:rsidP="00472CDB">
      <w:pPr>
        <w:pStyle w:val="ListParagraph"/>
        <w:numPr>
          <w:ilvl w:val="0"/>
          <w:numId w:val="1"/>
        </w:numPr>
        <w:spacing w:line="360" w:lineRule="auto"/>
        <w:rPr>
          <w:rFonts w:ascii="Arial" w:hAnsi="Arial" w:cs="Arial"/>
          <w:sz w:val="22"/>
          <w:szCs w:val="22"/>
        </w:rPr>
      </w:pPr>
      <w:r w:rsidRPr="003144E7">
        <w:rPr>
          <w:rFonts w:ascii="Arial" w:hAnsi="Arial" w:cs="Arial"/>
          <w:sz w:val="22"/>
          <w:szCs w:val="22"/>
        </w:rPr>
        <w:t xml:space="preserve">The slides for both workshops </w:t>
      </w:r>
      <w:r w:rsidR="00472CDB">
        <w:rPr>
          <w:rFonts w:ascii="Arial" w:hAnsi="Arial" w:cs="Arial"/>
          <w:sz w:val="22"/>
          <w:szCs w:val="22"/>
        </w:rPr>
        <w:t xml:space="preserve">are </w:t>
      </w:r>
      <w:r w:rsidRPr="003144E7">
        <w:rPr>
          <w:rFonts w:ascii="Arial" w:hAnsi="Arial" w:cs="Arial"/>
          <w:sz w:val="22"/>
          <w:szCs w:val="22"/>
        </w:rPr>
        <w:t>provided with an option</w:t>
      </w:r>
      <w:r w:rsidR="003144E7">
        <w:rPr>
          <w:rFonts w:ascii="Arial" w:hAnsi="Arial" w:cs="Arial"/>
          <w:sz w:val="22"/>
          <w:szCs w:val="22"/>
        </w:rPr>
        <w:t>al</w:t>
      </w:r>
      <w:r w:rsidRPr="003144E7">
        <w:rPr>
          <w:rFonts w:ascii="Arial" w:hAnsi="Arial" w:cs="Arial"/>
          <w:sz w:val="22"/>
          <w:szCs w:val="22"/>
        </w:rPr>
        <w:t xml:space="preserve"> presenter’s script in the notes field. </w:t>
      </w:r>
    </w:p>
    <w:p w:rsidR="003144E7" w:rsidRPr="00472CDB" w:rsidRDefault="003144E7" w:rsidP="00472CDB">
      <w:pPr>
        <w:pStyle w:val="ListParagraph"/>
        <w:numPr>
          <w:ilvl w:val="0"/>
          <w:numId w:val="1"/>
        </w:numPr>
        <w:spacing w:line="360" w:lineRule="auto"/>
        <w:rPr>
          <w:rFonts w:ascii="Arial" w:hAnsi="Arial" w:cs="Arial"/>
          <w:sz w:val="22"/>
          <w:szCs w:val="22"/>
        </w:rPr>
      </w:pPr>
      <w:r w:rsidRPr="00472CDB">
        <w:rPr>
          <w:rFonts w:ascii="Arial" w:hAnsi="Arial" w:cs="Arial"/>
          <w:sz w:val="22"/>
          <w:szCs w:val="22"/>
        </w:rPr>
        <w:t xml:space="preserve">There is overlap between the content of the two workshops. Here </w:t>
      </w:r>
      <w:r w:rsidR="00F904BD">
        <w:rPr>
          <w:rFonts w:ascii="Arial" w:hAnsi="Arial" w:cs="Arial"/>
          <w:sz w:val="22"/>
          <w:szCs w:val="22"/>
        </w:rPr>
        <w:t>are</w:t>
      </w:r>
      <w:r w:rsidRPr="00472CDB">
        <w:rPr>
          <w:rFonts w:ascii="Arial" w:hAnsi="Arial" w:cs="Arial"/>
          <w:sz w:val="22"/>
          <w:szCs w:val="22"/>
        </w:rPr>
        <w:t xml:space="preserve"> key ways in which they are different:</w:t>
      </w:r>
    </w:p>
    <w:p w:rsidR="003144E7" w:rsidRDefault="003144E7" w:rsidP="00472CDB">
      <w:pPr>
        <w:pStyle w:val="ListParagraph"/>
        <w:numPr>
          <w:ilvl w:val="1"/>
          <w:numId w:val="1"/>
        </w:numPr>
        <w:spacing w:line="360" w:lineRule="auto"/>
        <w:rPr>
          <w:rFonts w:ascii="Arial" w:hAnsi="Arial" w:cs="Arial"/>
          <w:sz w:val="22"/>
          <w:szCs w:val="22"/>
        </w:rPr>
      </w:pPr>
      <w:r>
        <w:rPr>
          <w:rFonts w:ascii="Arial" w:hAnsi="Arial" w:cs="Arial"/>
          <w:sz w:val="22"/>
          <w:szCs w:val="22"/>
        </w:rPr>
        <w:t>½ day workshop includes additional “tracking one item across HathiTrust” slides</w:t>
      </w:r>
    </w:p>
    <w:p w:rsidR="003144E7" w:rsidRDefault="003144E7" w:rsidP="00472CDB">
      <w:pPr>
        <w:pStyle w:val="ListParagraph"/>
        <w:numPr>
          <w:ilvl w:val="1"/>
          <w:numId w:val="1"/>
        </w:numPr>
        <w:spacing w:line="360" w:lineRule="auto"/>
        <w:rPr>
          <w:rFonts w:ascii="Arial" w:hAnsi="Arial" w:cs="Arial"/>
          <w:sz w:val="22"/>
          <w:szCs w:val="22"/>
        </w:rPr>
      </w:pPr>
      <w:r>
        <w:rPr>
          <w:rFonts w:ascii="Arial" w:hAnsi="Arial" w:cs="Arial"/>
          <w:sz w:val="22"/>
          <w:szCs w:val="22"/>
        </w:rPr>
        <w:t>½ day workshop uses only 1 case study</w:t>
      </w:r>
    </w:p>
    <w:p w:rsidR="003144E7" w:rsidRDefault="003144E7" w:rsidP="00472CDB">
      <w:pPr>
        <w:pStyle w:val="ListParagraph"/>
        <w:numPr>
          <w:ilvl w:val="1"/>
          <w:numId w:val="1"/>
        </w:numPr>
        <w:spacing w:line="360" w:lineRule="auto"/>
        <w:rPr>
          <w:rFonts w:ascii="Arial" w:hAnsi="Arial" w:cs="Arial"/>
          <w:sz w:val="22"/>
          <w:szCs w:val="22"/>
        </w:rPr>
      </w:pPr>
      <w:r>
        <w:rPr>
          <w:rFonts w:ascii="Arial" w:hAnsi="Arial" w:cs="Arial"/>
          <w:sz w:val="22"/>
          <w:szCs w:val="22"/>
        </w:rPr>
        <w:t>Full day workshop includes more information about text analysis methods and approaches</w:t>
      </w:r>
    </w:p>
    <w:p w:rsidR="00472CDB" w:rsidRDefault="00472CDB" w:rsidP="00472CDB">
      <w:pPr>
        <w:pStyle w:val="ListParagraph"/>
        <w:numPr>
          <w:ilvl w:val="1"/>
          <w:numId w:val="1"/>
        </w:numPr>
        <w:spacing w:line="360" w:lineRule="auto"/>
        <w:rPr>
          <w:rFonts w:ascii="Arial" w:hAnsi="Arial" w:cs="Arial"/>
          <w:sz w:val="22"/>
          <w:szCs w:val="22"/>
        </w:rPr>
      </w:pPr>
      <w:r>
        <w:rPr>
          <w:rFonts w:ascii="Arial" w:hAnsi="Arial" w:cs="Arial"/>
          <w:sz w:val="22"/>
          <w:szCs w:val="22"/>
        </w:rPr>
        <w:t>Full day workshop includes</w:t>
      </w:r>
      <w:r w:rsidR="00C61938">
        <w:rPr>
          <w:rFonts w:ascii="Arial" w:hAnsi="Arial" w:cs="Arial"/>
          <w:sz w:val="22"/>
          <w:szCs w:val="22"/>
        </w:rPr>
        <w:t xml:space="preserve"> readings and</w:t>
      </w:r>
      <w:r>
        <w:rPr>
          <w:rFonts w:ascii="Arial" w:hAnsi="Arial" w:cs="Arial"/>
          <w:sz w:val="22"/>
          <w:szCs w:val="22"/>
        </w:rPr>
        <w:t xml:space="preserve"> guided discussion questions </w:t>
      </w:r>
    </w:p>
    <w:p w:rsidR="00E662C0" w:rsidRPr="003144E7" w:rsidRDefault="00E662C0" w:rsidP="00472CDB">
      <w:pPr>
        <w:spacing w:line="360" w:lineRule="auto"/>
        <w:rPr>
          <w:rFonts w:ascii="Arial" w:hAnsi="Arial" w:cs="Arial"/>
          <w:sz w:val="22"/>
          <w:szCs w:val="22"/>
        </w:rPr>
      </w:pPr>
    </w:p>
    <w:p w:rsidR="005E049D" w:rsidRPr="006669B0" w:rsidRDefault="005E049D" w:rsidP="00472CDB">
      <w:pPr>
        <w:spacing w:line="360" w:lineRule="auto"/>
        <w:rPr>
          <w:rFonts w:ascii="Arial" w:hAnsi="Arial" w:cs="Arial"/>
          <w:sz w:val="28"/>
          <w:szCs w:val="28"/>
        </w:rPr>
      </w:pPr>
      <w:r w:rsidRPr="006669B0">
        <w:rPr>
          <w:rFonts w:ascii="Arial" w:hAnsi="Arial" w:cs="Arial"/>
          <w:sz w:val="28"/>
          <w:szCs w:val="28"/>
        </w:rPr>
        <w:lastRenderedPageBreak/>
        <w:t>Activities</w:t>
      </w:r>
    </w:p>
    <w:p w:rsidR="00472CDB" w:rsidRDefault="00472CDB" w:rsidP="00472CDB">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5125"/>
        <w:gridCol w:w="2160"/>
        <w:gridCol w:w="2065"/>
      </w:tblGrid>
      <w:tr w:rsidR="00472CDB" w:rsidTr="00F904BD">
        <w:tc>
          <w:tcPr>
            <w:tcW w:w="5125" w:type="dxa"/>
          </w:tcPr>
          <w:p w:rsidR="00472CDB" w:rsidRPr="00F904BD" w:rsidRDefault="00472CDB" w:rsidP="00472CDB">
            <w:pPr>
              <w:spacing w:line="360" w:lineRule="auto"/>
              <w:rPr>
                <w:rFonts w:ascii="Arial" w:hAnsi="Arial" w:cs="Arial"/>
                <w:b/>
                <w:sz w:val="22"/>
                <w:szCs w:val="22"/>
              </w:rPr>
            </w:pPr>
            <w:r w:rsidRPr="00F904BD">
              <w:rPr>
                <w:rFonts w:ascii="Arial" w:hAnsi="Arial" w:cs="Arial"/>
                <w:b/>
                <w:sz w:val="22"/>
                <w:szCs w:val="22"/>
              </w:rPr>
              <w:t>Activity</w:t>
            </w:r>
          </w:p>
        </w:tc>
        <w:tc>
          <w:tcPr>
            <w:tcW w:w="2160" w:type="dxa"/>
          </w:tcPr>
          <w:p w:rsidR="00472CDB" w:rsidRPr="00F904BD" w:rsidRDefault="00472CDB" w:rsidP="00472CDB">
            <w:pPr>
              <w:spacing w:line="360" w:lineRule="auto"/>
              <w:rPr>
                <w:rFonts w:ascii="Arial" w:hAnsi="Arial" w:cs="Arial"/>
                <w:b/>
                <w:sz w:val="22"/>
                <w:szCs w:val="22"/>
              </w:rPr>
            </w:pPr>
            <w:r w:rsidRPr="00F904BD">
              <w:rPr>
                <w:rFonts w:ascii="Arial" w:hAnsi="Arial" w:cs="Arial"/>
                <w:b/>
                <w:sz w:val="22"/>
                <w:szCs w:val="22"/>
              </w:rPr>
              <w:t>Full day workshop</w:t>
            </w:r>
          </w:p>
        </w:tc>
        <w:tc>
          <w:tcPr>
            <w:tcW w:w="2065" w:type="dxa"/>
          </w:tcPr>
          <w:p w:rsidR="00472CDB" w:rsidRPr="00F904BD" w:rsidRDefault="00472CDB" w:rsidP="00472CDB">
            <w:pPr>
              <w:spacing w:line="360" w:lineRule="auto"/>
              <w:rPr>
                <w:rFonts w:ascii="Arial" w:hAnsi="Arial" w:cs="Arial"/>
                <w:b/>
                <w:sz w:val="22"/>
                <w:szCs w:val="22"/>
              </w:rPr>
            </w:pPr>
            <w:r w:rsidRPr="00F904BD">
              <w:rPr>
                <w:rFonts w:ascii="Arial" w:hAnsi="Arial" w:cs="Arial"/>
                <w:b/>
                <w:sz w:val="22"/>
                <w:szCs w:val="22"/>
              </w:rPr>
              <w:t xml:space="preserve">½ </w:t>
            </w:r>
            <w:r w:rsidR="00F904BD">
              <w:rPr>
                <w:rFonts w:ascii="Arial" w:hAnsi="Arial" w:cs="Arial"/>
                <w:b/>
                <w:sz w:val="22"/>
                <w:szCs w:val="22"/>
              </w:rPr>
              <w:t xml:space="preserve">day </w:t>
            </w:r>
            <w:r w:rsidRPr="00F904BD">
              <w:rPr>
                <w:rFonts w:ascii="Arial" w:hAnsi="Arial" w:cs="Arial"/>
                <w:b/>
                <w:sz w:val="22"/>
                <w:szCs w:val="22"/>
              </w:rPr>
              <w:t>workshop</w:t>
            </w:r>
          </w:p>
        </w:tc>
      </w:tr>
      <w:tr w:rsidR="00472CDB" w:rsidTr="00F904BD">
        <w:tc>
          <w:tcPr>
            <w:tcW w:w="5125" w:type="dxa"/>
          </w:tcPr>
          <w:p w:rsidR="00472CDB" w:rsidRDefault="00472CDB" w:rsidP="00472CDB">
            <w:pPr>
              <w:spacing w:line="360" w:lineRule="auto"/>
              <w:rPr>
                <w:rFonts w:ascii="Arial" w:hAnsi="Arial" w:cs="Arial"/>
                <w:sz w:val="22"/>
                <w:szCs w:val="22"/>
              </w:rPr>
            </w:pPr>
            <w:r>
              <w:rPr>
                <w:rFonts w:ascii="Arial" w:hAnsi="Arial" w:cs="Arial"/>
                <w:sz w:val="22"/>
                <w:szCs w:val="22"/>
              </w:rPr>
              <w:t>HTRC Named Entity Recognizer Algorithm</w:t>
            </w:r>
          </w:p>
        </w:tc>
        <w:tc>
          <w:tcPr>
            <w:tcW w:w="2160"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c>
          <w:tcPr>
            <w:tcW w:w="2065" w:type="dxa"/>
          </w:tcPr>
          <w:p w:rsidR="00472CDB" w:rsidRDefault="00472CDB" w:rsidP="00472CDB">
            <w:pPr>
              <w:spacing w:line="360" w:lineRule="auto"/>
              <w:jc w:val="center"/>
              <w:rPr>
                <w:rFonts w:ascii="Arial" w:hAnsi="Arial" w:cs="Arial"/>
                <w:sz w:val="22"/>
                <w:szCs w:val="22"/>
              </w:rPr>
            </w:pPr>
          </w:p>
        </w:tc>
      </w:tr>
      <w:tr w:rsidR="00472CDB" w:rsidTr="00F904BD">
        <w:tc>
          <w:tcPr>
            <w:tcW w:w="5125" w:type="dxa"/>
          </w:tcPr>
          <w:p w:rsidR="00472CDB" w:rsidRDefault="00472CDB" w:rsidP="00472CDB">
            <w:pPr>
              <w:spacing w:line="360" w:lineRule="auto"/>
              <w:rPr>
                <w:rFonts w:ascii="Arial" w:hAnsi="Arial" w:cs="Arial"/>
                <w:sz w:val="22"/>
                <w:szCs w:val="22"/>
              </w:rPr>
            </w:pPr>
            <w:r>
              <w:rPr>
                <w:rFonts w:ascii="Arial" w:hAnsi="Arial" w:cs="Arial"/>
                <w:sz w:val="22"/>
                <w:szCs w:val="22"/>
              </w:rPr>
              <w:t>Plotting locations from NER algorithm (notebook)</w:t>
            </w:r>
          </w:p>
        </w:tc>
        <w:tc>
          <w:tcPr>
            <w:tcW w:w="2160"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c>
          <w:tcPr>
            <w:tcW w:w="2065" w:type="dxa"/>
          </w:tcPr>
          <w:p w:rsidR="00472CDB" w:rsidRDefault="00472CDB" w:rsidP="00472CDB">
            <w:pPr>
              <w:spacing w:line="360" w:lineRule="auto"/>
              <w:jc w:val="center"/>
              <w:rPr>
                <w:rFonts w:ascii="Arial" w:hAnsi="Arial" w:cs="Arial"/>
                <w:sz w:val="22"/>
                <w:szCs w:val="22"/>
              </w:rPr>
            </w:pPr>
          </w:p>
        </w:tc>
      </w:tr>
      <w:tr w:rsidR="00472CDB" w:rsidTr="00F904BD">
        <w:tc>
          <w:tcPr>
            <w:tcW w:w="5125" w:type="dxa"/>
          </w:tcPr>
          <w:p w:rsidR="00472CDB" w:rsidRDefault="00472CDB" w:rsidP="00472CDB">
            <w:pPr>
              <w:spacing w:line="360" w:lineRule="auto"/>
              <w:rPr>
                <w:rFonts w:ascii="Arial" w:hAnsi="Arial" w:cs="Arial"/>
                <w:sz w:val="22"/>
                <w:szCs w:val="22"/>
              </w:rPr>
            </w:pPr>
            <w:r>
              <w:rPr>
                <w:rFonts w:ascii="Arial" w:hAnsi="Arial" w:cs="Arial"/>
                <w:sz w:val="22"/>
                <w:szCs w:val="22"/>
              </w:rPr>
              <w:t>Learning the Jupyter environment (notebook)</w:t>
            </w:r>
          </w:p>
        </w:tc>
        <w:tc>
          <w:tcPr>
            <w:tcW w:w="2160"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c>
          <w:tcPr>
            <w:tcW w:w="2065"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r>
      <w:tr w:rsidR="00472CDB" w:rsidTr="00F904BD">
        <w:tc>
          <w:tcPr>
            <w:tcW w:w="5125" w:type="dxa"/>
          </w:tcPr>
          <w:p w:rsidR="00472CDB" w:rsidRDefault="00472CDB" w:rsidP="00472CDB">
            <w:pPr>
              <w:spacing w:line="360" w:lineRule="auto"/>
              <w:rPr>
                <w:rFonts w:ascii="Arial" w:hAnsi="Arial" w:cs="Arial"/>
                <w:sz w:val="22"/>
                <w:szCs w:val="22"/>
              </w:rPr>
            </w:pPr>
            <w:r>
              <w:rPr>
                <w:rFonts w:ascii="Arial" w:hAnsi="Arial" w:cs="Arial"/>
                <w:sz w:val="22"/>
                <w:szCs w:val="22"/>
              </w:rPr>
              <w:t>Analyzing Extracted Features (notebook)</w:t>
            </w:r>
          </w:p>
        </w:tc>
        <w:tc>
          <w:tcPr>
            <w:tcW w:w="2160"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c>
          <w:tcPr>
            <w:tcW w:w="2065"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r>
      <w:tr w:rsidR="00472CDB" w:rsidTr="00F904BD">
        <w:tc>
          <w:tcPr>
            <w:tcW w:w="5125" w:type="dxa"/>
          </w:tcPr>
          <w:p w:rsidR="00472CDB" w:rsidRDefault="00472CDB" w:rsidP="00472CDB">
            <w:pPr>
              <w:spacing w:line="360" w:lineRule="auto"/>
              <w:rPr>
                <w:rFonts w:ascii="Arial" w:hAnsi="Arial" w:cs="Arial"/>
                <w:sz w:val="22"/>
                <w:szCs w:val="22"/>
              </w:rPr>
            </w:pPr>
            <w:r>
              <w:rPr>
                <w:rFonts w:ascii="Arial" w:hAnsi="Arial" w:cs="Arial"/>
                <w:sz w:val="22"/>
                <w:szCs w:val="22"/>
              </w:rPr>
              <w:t xml:space="preserve">Research with the HTRC Data Capsules </w:t>
            </w:r>
          </w:p>
        </w:tc>
        <w:tc>
          <w:tcPr>
            <w:tcW w:w="2160" w:type="dxa"/>
          </w:tcPr>
          <w:p w:rsidR="00472CDB" w:rsidRDefault="00472CDB" w:rsidP="00472CDB">
            <w:pPr>
              <w:spacing w:line="360" w:lineRule="auto"/>
              <w:jc w:val="center"/>
              <w:rPr>
                <w:rFonts w:ascii="Arial" w:hAnsi="Arial" w:cs="Arial"/>
                <w:sz w:val="22"/>
                <w:szCs w:val="22"/>
              </w:rPr>
            </w:pPr>
          </w:p>
        </w:tc>
        <w:tc>
          <w:tcPr>
            <w:tcW w:w="2065" w:type="dxa"/>
          </w:tcPr>
          <w:p w:rsidR="00472CDB" w:rsidRDefault="00472CDB" w:rsidP="00472CDB">
            <w:pPr>
              <w:spacing w:line="360" w:lineRule="auto"/>
              <w:jc w:val="center"/>
              <w:rPr>
                <w:rFonts w:ascii="Arial" w:hAnsi="Arial" w:cs="Arial"/>
                <w:sz w:val="22"/>
                <w:szCs w:val="22"/>
              </w:rPr>
            </w:pPr>
            <w:r>
              <w:rPr>
                <w:rFonts w:ascii="Arial" w:hAnsi="Arial" w:cs="Arial"/>
                <w:sz w:val="22"/>
                <w:szCs w:val="22"/>
              </w:rPr>
              <w:t>x</w:t>
            </w:r>
          </w:p>
        </w:tc>
      </w:tr>
    </w:tbl>
    <w:p w:rsidR="00472CDB" w:rsidRPr="00472CDB" w:rsidRDefault="00472CDB" w:rsidP="00472CDB">
      <w:pPr>
        <w:spacing w:line="360" w:lineRule="auto"/>
        <w:rPr>
          <w:rFonts w:ascii="Arial" w:hAnsi="Arial" w:cs="Arial"/>
          <w:sz w:val="22"/>
          <w:szCs w:val="22"/>
        </w:rPr>
      </w:pPr>
    </w:p>
    <w:p w:rsidR="006669B0" w:rsidRDefault="006669B0" w:rsidP="00472CDB">
      <w:pPr>
        <w:spacing w:line="360" w:lineRule="auto"/>
        <w:rPr>
          <w:rFonts w:ascii="Arial" w:hAnsi="Arial" w:cs="Arial"/>
          <w:sz w:val="22"/>
          <w:szCs w:val="22"/>
        </w:rPr>
      </w:pPr>
      <w:r>
        <w:rPr>
          <w:rFonts w:ascii="Arial" w:hAnsi="Arial" w:cs="Arial"/>
          <w:sz w:val="22"/>
          <w:szCs w:val="22"/>
        </w:rPr>
        <w:t xml:space="preserve">The Jupyter notebooks can be revised and reused. They can also be run locally. </w:t>
      </w:r>
      <w:r w:rsidR="00F904BD">
        <w:rPr>
          <w:rFonts w:ascii="Arial" w:hAnsi="Arial" w:cs="Arial"/>
          <w:sz w:val="22"/>
          <w:szCs w:val="22"/>
        </w:rPr>
        <w:t>In the workshops, we interact with them using a web-viewer called Binder, which takes the GitHub repository—including the .ipynb files, data files, and an environment file specifying the libraries needed for the code used in the notebooks to execute—and then renders it in the interactive Binder environment.</w:t>
      </w:r>
    </w:p>
    <w:p w:rsidR="006669B0" w:rsidRPr="006669B0" w:rsidRDefault="006669B0" w:rsidP="006669B0">
      <w:pPr>
        <w:pStyle w:val="ListParagraph"/>
        <w:numPr>
          <w:ilvl w:val="0"/>
          <w:numId w:val="6"/>
        </w:numPr>
        <w:spacing w:line="360" w:lineRule="auto"/>
        <w:rPr>
          <w:rFonts w:ascii="Arial" w:hAnsi="Arial" w:cs="Arial"/>
          <w:sz w:val="22"/>
          <w:szCs w:val="22"/>
        </w:rPr>
      </w:pPr>
      <w:r w:rsidRPr="006669B0">
        <w:rPr>
          <w:rFonts w:ascii="Arial" w:hAnsi="Arial" w:cs="Arial"/>
          <w:sz w:val="22"/>
          <w:szCs w:val="22"/>
        </w:rPr>
        <w:t xml:space="preserve">To run locally (and with different data): </w:t>
      </w:r>
    </w:p>
    <w:p w:rsidR="006669B0" w:rsidRPr="00933791" w:rsidRDefault="006669B0" w:rsidP="00933791">
      <w:pPr>
        <w:pStyle w:val="ListParagraph"/>
        <w:numPr>
          <w:ilvl w:val="1"/>
          <w:numId w:val="6"/>
        </w:numPr>
        <w:spacing w:line="360" w:lineRule="auto"/>
        <w:rPr>
          <w:rFonts w:ascii="Arial" w:hAnsi="Arial" w:cs="Arial"/>
        </w:rPr>
      </w:pPr>
      <w:r w:rsidRPr="00933791">
        <w:rPr>
          <w:rFonts w:ascii="Arial" w:hAnsi="Arial" w:cs="Arial"/>
          <w:sz w:val="22"/>
          <w:szCs w:val="22"/>
        </w:rPr>
        <w:t xml:space="preserve">Download the GitHub repository at </w:t>
      </w:r>
      <w:hyperlink r:id="rId7" w:tgtFrame="_blank" w:history="1">
        <w:r w:rsidR="00933791" w:rsidRPr="00933791">
          <w:rPr>
            <w:rStyle w:val="Hyperlink"/>
            <w:rFonts w:ascii="Arial" w:hAnsi="Arial" w:cs="Arial"/>
            <w:sz w:val="22"/>
            <w:szCs w:val="22"/>
          </w:rPr>
          <w:t>https://go.illinois.edu/htrc-workshop</w:t>
        </w:r>
      </w:hyperlink>
      <w:r w:rsidR="00933791" w:rsidRPr="00933791">
        <w:rPr>
          <w:rFonts w:ascii="Arial" w:hAnsi="Arial" w:cs="Arial"/>
          <w:sz w:val="22"/>
          <w:szCs w:val="22"/>
        </w:rPr>
        <w:t>.</w:t>
      </w:r>
    </w:p>
    <w:p w:rsidR="006669B0" w:rsidRPr="006669B0" w:rsidRDefault="006669B0" w:rsidP="00933791">
      <w:pPr>
        <w:pStyle w:val="ListParagraph"/>
        <w:numPr>
          <w:ilvl w:val="1"/>
          <w:numId w:val="6"/>
        </w:numPr>
        <w:spacing w:line="360" w:lineRule="auto"/>
        <w:rPr>
          <w:rFonts w:ascii="Arial" w:hAnsi="Arial" w:cs="Arial"/>
          <w:sz w:val="22"/>
          <w:szCs w:val="22"/>
        </w:rPr>
      </w:pPr>
      <w:r w:rsidRPr="00933791">
        <w:rPr>
          <w:rFonts w:ascii="Arial" w:hAnsi="Arial" w:cs="Arial"/>
          <w:sz w:val="22"/>
          <w:szCs w:val="22"/>
        </w:rPr>
        <w:t>Make sure that the dependencies listed in the environment.yml file are installed</w:t>
      </w:r>
      <w:r w:rsidRPr="006669B0">
        <w:rPr>
          <w:rFonts w:ascii="Arial" w:hAnsi="Arial" w:cs="Arial"/>
          <w:sz w:val="22"/>
          <w:szCs w:val="22"/>
        </w:rPr>
        <w:t xml:space="preserve"> on your computer.</w:t>
      </w:r>
    </w:p>
    <w:p w:rsidR="006669B0" w:rsidRPr="006669B0" w:rsidRDefault="006669B0" w:rsidP="006669B0">
      <w:pPr>
        <w:pStyle w:val="ListParagraph"/>
        <w:numPr>
          <w:ilvl w:val="1"/>
          <w:numId w:val="6"/>
        </w:numPr>
        <w:spacing w:line="360" w:lineRule="auto"/>
        <w:rPr>
          <w:rFonts w:ascii="Courier New" w:hAnsi="Courier New" w:cs="Courier New"/>
          <w:sz w:val="22"/>
          <w:szCs w:val="22"/>
        </w:rPr>
      </w:pPr>
      <w:r w:rsidRPr="006669B0">
        <w:rPr>
          <w:rFonts w:ascii="Arial" w:hAnsi="Arial" w:cs="Arial"/>
          <w:sz w:val="22"/>
          <w:szCs w:val="22"/>
        </w:rPr>
        <w:t xml:space="preserve">Run Jupyter Notebooks from the command line on your computer by typing and entering </w:t>
      </w:r>
      <w:r w:rsidRPr="006669B0">
        <w:rPr>
          <w:rFonts w:ascii="Courier New" w:hAnsi="Courier New" w:cs="Courier New"/>
          <w:sz w:val="22"/>
          <w:szCs w:val="22"/>
        </w:rPr>
        <w:t>jupyter notebook.</w:t>
      </w:r>
    </w:p>
    <w:p w:rsidR="006669B0" w:rsidRPr="006669B0" w:rsidRDefault="006669B0" w:rsidP="006669B0">
      <w:pPr>
        <w:pStyle w:val="ListParagraph"/>
        <w:numPr>
          <w:ilvl w:val="1"/>
          <w:numId w:val="6"/>
        </w:numPr>
        <w:spacing w:line="360" w:lineRule="auto"/>
        <w:rPr>
          <w:rFonts w:ascii="Courier New" w:hAnsi="Courier New" w:cs="Courier New"/>
          <w:sz w:val="22"/>
          <w:szCs w:val="22"/>
        </w:rPr>
      </w:pPr>
      <w:r w:rsidRPr="006669B0">
        <w:rPr>
          <w:rFonts w:ascii="Arial" w:hAnsi="Arial" w:cs="Arial"/>
          <w:sz w:val="22"/>
          <w:szCs w:val="22"/>
        </w:rPr>
        <w:t>Change out the data, for example to another set of Extracted Features files or a different Named Entity Recognizer Algorithm output file. Note that you may have to make sure that the file paths are pointing to the correct places on your local machine.</w:t>
      </w:r>
    </w:p>
    <w:p w:rsidR="006669B0" w:rsidRPr="00F904BD" w:rsidRDefault="006669B0" w:rsidP="006669B0">
      <w:pPr>
        <w:pStyle w:val="ListParagraph"/>
        <w:numPr>
          <w:ilvl w:val="0"/>
          <w:numId w:val="6"/>
        </w:numPr>
        <w:spacing w:line="360" w:lineRule="auto"/>
        <w:rPr>
          <w:rFonts w:ascii="Courier New" w:hAnsi="Courier New" w:cs="Courier New"/>
          <w:sz w:val="22"/>
          <w:szCs w:val="22"/>
        </w:rPr>
      </w:pPr>
      <w:r>
        <w:rPr>
          <w:rFonts w:ascii="Arial" w:hAnsi="Arial" w:cs="Arial"/>
          <w:sz w:val="22"/>
          <w:szCs w:val="22"/>
        </w:rPr>
        <w:t xml:space="preserve">To </w:t>
      </w:r>
      <w:r w:rsidR="00F904BD">
        <w:rPr>
          <w:rFonts w:ascii="Arial" w:hAnsi="Arial" w:cs="Arial"/>
          <w:sz w:val="22"/>
          <w:szCs w:val="22"/>
        </w:rPr>
        <w:t>reuse the GitHub repository for another Binder:</w:t>
      </w:r>
    </w:p>
    <w:p w:rsidR="00F904BD" w:rsidRDefault="00F904BD" w:rsidP="00F904BD">
      <w:pPr>
        <w:pStyle w:val="ListParagraph"/>
        <w:numPr>
          <w:ilvl w:val="1"/>
          <w:numId w:val="6"/>
        </w:numPr>
        <w:spacing w:line="360" w:lineRule="auto"/>
        <w:rPr>
          <w:rFonts w:ascii="Arial" w:hAnsi="Arial" w:cs="Arial"/>
          <w:sz w:val="22"/>
          <w:szCs w:val="22"/>
        </w:rPr>
      </w:pPr>
      <w:r>
        <w:rPr>
          <w:rFonts w:ascii="Arial" w:hAnsi="Arial" w:cs="Arial"/>
          <w:sz w:val="22"/>
          <w:szCs w:val="22"/>
        </w:rPr>
        <w:t xml:space="preserve">Clone the GitHub repository at </w:t>
      </w:r>
      <w:hyperlink r:id="rId8" w:tgtFrame="_blank" w:history="1">
        <w:r w:rsidR="00933791" w:rsidRPr="00933791">
          <w:rPr>
            <w:rStyle w:val="Hyperlink"/>
            <w:rFonts w:ascii="Arial" w:hAnsi="Arial" w:cs="Arial"/>
            <w:sz w:val="22"/>
            <w:szCs w:val="22"/>
          </w:rPr>
          <w:t>https://go.illinois.edu/htrc-workshop</w:t>
        </w:r>
      </w:hyperlink>
      <w:r w:rsidR="00933791" w:rsidRPr="00933791">
        <w:rPr>
          <w:rFonts w:ascii="Arial" w:hAnsi="Arial" w:cs="Arial"/>
          <w:sz w:val="22"/>
          <w:szCs w:val="22"/>
        </w:rPr>
        <w:t>.</w:t>
      </w:r>
    </w:p>
    <w:p w:rsidR="00F904BD" w:rsidRDefault="00F904BD" w:rsidP="00F904BD">
      <w:pPr>
        <w:pStyle w:val="ListParagraph"/>
        <w:numPr>
          <w:ilvl w:val="1"/>
          <w:numId w:val="6"/>
        </w:numPr>
        <w:spacing w:line="360" w:lineRule="auto"/>
        <w:rPr>
          <w:rFonts w:ascii="Arial" w:hAnsi="Arial" w:cs="Arial"/>
          <w:sz w:val="22"/>
          <w:szCs w:val="22"/>
        </w:rPr>
      </w:pPr>
      <w:r>
        <w:rPr>
          <w:rFonts w:ascii="Arial" w:hAnsi="Arial" w:cs="Arial"/>
          <w:sz w:val="22"/>
          <w:szCs w:val="22"/>
        </w:rPr>
        <w:t xml:space="preserve">Modify the files in the repository, such as using a different set of Extracted Features files or a different Named Entity Recognizer Algorithm output file. </w:t>
      </w:r>
    </w:p>
    <w:p w:rsidR="00F904BD" w:rsidRDefault="00F904BD" w:rsidP="00F904BD">
      <w:pPr>
        <w:pStyle w:val="ListParagraph"/>
        <w:numPr>
          <w:ilvl w:val="1"/>
          <w:numId w:val="6"/>
        </w:numPr>
        <w:spacing w:line="360" w:lineRule="auto"/>
        <w:rPr>
          <w:rFonts w:ascii="Arial" w:hAnsi="Arial" w:cs="Arial"/>
          <w:sz w:val="22"/>
          <w:szCs w:val="22"/>
        </w:rPr>
      </w:pPr>
      <w:r>
        <w:rPr>
          <w:rFonts w:ascii="Arial" w:hAnsi="Arial" w:cs="Arial"/>
          <w:sz w:val="22"/>
          <w:szCs w:val="22"/>
        </w:rPr>
        <w:t xml:space="preserve">Edit the notebooks with different explanatory text or add or remove parts of the activities (making sure that you don’t break the code if you can’t fix it!). </w:t>
      </w:r>
    </w:p>
    <w:p w:rsidR="00F904BD" w:rsidRPr="00F904BD" w:rsidRDefault="00F904BD" w:rsidP="00F904BD">
      <w:pPr>
        <w:pStyle w:val="ListParagraph"/>
        <w:numPr>
          <w:ilvl w:val="1"/>
          <w:numId w:val="6"/>
        </w:numPr>
        <w:spacing w:line="360" w:lineRule="auto"/>
        <w:rPr>
          <w:rFonts w:ascii="Arial" w:hAnsi="Arial" w:cs="Arial"/>
          <w:sz w:val="22"/>
          <w:szCs w:val="22"/>
        </w:rPr>
      </w:pPr>
      <w:r>
        <w:rPr>
          <w:rFonts w:ascii="Arial" w:hAnsi="Arial" w:cs="Arial"/>
          <w:sz w:val="22"/>
          <w:szCs w:val="22"/>
        </w:rPr>
        <w:t xml:space="preserve">Follow the steps to initialize Binder using the documentation here: </w:t>
      </w:r>
      <w:hyperlink r:id="rId9" w:history="1">
        <w:r w:rsidRPr="003B56C9">
          <w:rPr>
            <w:rStyle w:val="Hyperlink"/>
            <w:rFonts w:ascii="Arial" w:hAnsi="Arial" w:cs="Arial"/>
            <w:sz w:val="22"/>
            <w:szCs w:val="22"/>
          </w:rPr>
          <w:t>https://mybinder.readthedocs.io/en</w:t>
        </w:r>
      </w:hyperlink>
      <w:r>
        <w:rPr>
          <w:rFonts w:ascii="Arial" w:hAnsi="Arial" w:cs="Arial"/>
          <w:sz w:val="22"/>
          <w:szCs w:val="22"/>
        </w:rPr>
        <w:t xml:space="preserve">  </w:t>
      </w:r>
    </w:p>
    <w:p w:rsidR="00967133" w:rsidRDefault="00967133" w:rsidP="00967133">
      <w:pPr>
        <w:spacing w:line="360" w:lineRule="auto"/>
        <w:rPr>
          <w:rFonts w:ascii="Arial" w:hAnsi="Arial" w:cs="Arial"/>
          <w:sz w:val="36"/>
          <w:szCs w:val="36"/>
        </w:rPr>
      </w:pPr>
    </w:p>
    <w:p w:rsidR="00967133" w:rsidRPr="00967133" w:rsidRDefault="00967133" w:rsidP="00967133">
      <w:pPr>
        <w:spacing w:line="360" w:lineRule="auto"/>
        <w:rPr>
          <w:rFonts w:ascii="Arial" w:hAnsi="Arial" w:cs="Arial"/>
          <w:sz w:val="36"/>
          <w:szCs w:val="36"/>
        </w:rPr>
      </w:pPr>
      <w:r w:rsidRPr="00967133">
        <w:rPr>
          <w:rFonts w:ascii="Arial" w:hAnsi="Arial" w:cs="Arial"/>
          <w:sz w:val="36"/>
          <w:szCs w:val="36"/>
        </w:rPr>
        <w:lastRenderedPageBreak/>
        <w:t>Preparing to teach</w:t>
      </w:r>
    </w:p>
    <w:p w:rsidR="00967133" w:rsidRPr="00967133" w:rsidRDefault="00967133" w:rsidP="00967133">
      <w:pPr>
        <w:spacing w:line="360" w:lineRule="auto"/>
        <w:rPr>
          <w:rFonts w:ascii="Arial" w:hAnsi="Arial" w:cs="Arial"/>
          <w:sz w:val="28"/>
          <w:szCs w:val="28"/>
        </w:rPr>
      </w:pPr>
      <w:r w:rsidRPr="00967133">
        <w:rPr>
          <w:rFonts w:ascii="Arial" w:hAnsi="Arial" w:cs="Arial"/>
          <w:sz w:val="28"/>
          <w:szCs w:val="28"/>
        </w:rPr>
        <w:t>Further reading</w:t>
      </w:r>
    </w:p>
    <w:p w:rsidR="00967133" w:rsidRPr="00967133" w:rsidRDefault="00967133" w:rsidP="00967133">
      <w:pPr>
        <w:pStyle w:val="ListParagraph"/>
        <w:numPr>
          <w:ilvl w:val="0"/>
          <w:numId w:val="7"/>
        </w:numPr>
        <w:spacing w:line="360" w:lineRule="auto"/>
        <w:rPr>
          <w:rFonts w:ascii="Arial" w:hAnsi="Arial" w:cs="Arial"/>
          <w:sz w:val="22"/>
          <w:szCs w:val="22"/>
        </w:rPr>
      </w:pPr>
      <w:r>
        <w:rPr>
          <w:rFonts w:ascii="Arial" w:hAnsi="Arial" w:cs="Arial"/>
          <w:sz w:val="22"/>
          <w:szCs w:val="22"/>
        </w:rPr>
        <w:t>Please see</w:t>
      </w:r>
      <w:r w:rsidR="00933791">
        <w:rPr>
          <w:rFonts w:ascii="Arial" w:hAnsi="Arial" w:cs="Arial"/>
          <w:sz w:val="22"/>
          <w:szCs w:val="22"/>
        </w:rPr>
        <w:t xml:space="preserve"> this page on the HTRC wiki for </w:t>
      </w:r>
      <w:r>
        <w:rPr>
          <w:rFonts w:ascii="Arial" w:hAnsi="Arial" w:cs="Arial"/>
          <w:sz w:val="22"/>
          <w:szCs w:val="22"/>
        </w:rPr>
        <w:t xml:space="preserve">recommended readings: </w:t>
      </w:r>
      <w:hyperlink r:id="rId10" w:history="1">
        <w:r w:rsidRPr="00967133">
          <w:rPr>
            <w:rStyle w:val="Hyperlink"/>
            <w:rFonts w:ascii="Arial" w:hAnsi="Arial" w:cs="Arial"/>
            <w:sz w:val="22"/>
            <w:szCs w:val="22"/>
          </w:rPr>
          <w:t>https://wiki.htrc.illinois.edu/display/COM/Further+reading</w:t>
        </w:r>
      </w:hyperlink>
      <w:r w:rsidR="00933791">
        <w:rPr>
          <w:rFonts w:ascii="Arial" w:hAnsi="Arial" w:cs="Arial"/>
          <w:sz w:val="22"/>
          <w:szCs w:val="22"/>
        </w:rPr>
        <w:t>.</w:t>
      </w:r>
    </w:p>
    <w:p w:rsidR="003144E7" w:rsidRDefault="003144E7" w:rsidP="00967133">
      <w:pPr>
        <w:spacing w:line="360" w:lineRule="auto"/>
        <w:rPr>
          <w:rFonts w:ascii="Arial" w:hAnsi="Arial" w:cs="Arial"/>
          <w:sz w:val="22"/>
          <w:szCs w:val="22"/>
        </w:rPr>
      </w:pPr>
    </w:p>
    <w:p w:rsidR="00967133" w:rsidRDefault="00967133" w:rsidP="00967133">
      <w:pPr>
        <w:spacing w:line="360" w:lineRule="auto"/>
        <w:rPr>
          <w:rFonts w:ascii="Arial" w:hAnsi="Arial" w:cs="Arial"/>
          <w:sz w:val="28"/>
          <w:szCs w:val="28"/>
        </w:rPr>
      </w:pPr>
      <w:r w:rsidRPr="00967133">
        <w:rPr>
          <w:rFonts w:ascii="Arial" w:hAnsi="Arial" w:cs="Arial"/>
          <w:sz w:val="28"/>
          <w:szCs w:val="28"/>
        </w:rPr>
        <w:t>Additional materials</w:t>
      </w:r>
    </w:p>
    <w:p w:rsidR="00967133" w:rsidRPr="00967133" w:rsidRDefault="00967133" w:rsidP="00967133">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Glossary: </w:t>
      </w:r>
      <w:hyperlink r:id="rId11" w:history="1">
        <w:r w:rsidRPr="00967133">
          <w:rPr>
            <w:rStyle w:val="Hyperlink"/>
            <w:rFonts w:ascii="Arial" w:hAnsi="Arial" w:cs="Arial"/>
            <w:sz w:val="22"/>
            <w:szCs w:val="22"/>
          </w:rPr>
          <w:t>https://wiki.htrc.illinois.edu/display/COM/Glossary</w:t>
        </w:r>
      </w:hyperlink>
      <w:r w:rsidR="00933791">
        <w:rPr>
          <w:rFonts w:ascii="Arial" w:hAnsi="Arial" w:cs="Arial"/>
          <w:sz w:val="22"/>
          <w:szCs w:val="22"/>
        </w:rPr>
        <w:t>.</w:t>
      </w:r>
      <w:bookmarkStart w:id="0" w:name="_GoBack"/>
      <w:bookmarkEnd w:id="0"/>
    </w:p>
    <w:p w:rsidR="00967133" w:rsidRPr="00967133" w:rsidRDefault="00967133" w:rsidP="00967133">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HTRC introductory video: </w:t>
      </w:r>
      <w:hyperlink r:id="rId12" w:history="1">
        <w:r w:rsidRPr="00967133">
          <w:rPr>
            <w:rStyle w:val="Hyperlink"/>
            <w:rFonts w:ascii="Arial" w:hAnsi="Arial" w:cs="Arial"/>
            <w:sz w:val="22"/>
            <w:szCs w:val="22"/>
          </w:rPr>
          <w:t>https://www.youtube.com/watch?v=Vq6E9u67GnM</w:t>
        </w:r>
      </w:hyperlink>
      <w:r w:rsidR="00933791">
        <w:rPr>
          <w:rFonts w:ascii="Arial" w:hAnsi="Arial" w:cs="Arial"/>
          <w:sz w:val="22"/>
          <w:szCs w:val="22"/>
        </w:rPr>
        <w:t>.</w:t>
      </w:r>
    </w:p>
    <w:p w:rsidR="00967133" w:rsidRPr="00967133" w:rsidRDefault="00967133" w:rsidP="00967133">
      <w:pPr>
        <w:pStyle w:val="ListParagraph"/>
        <w:numPr>
          <w:ilvl w:val="0"/>
          <w:numId w:val="7"/>
        </w:numPr>
        <w:spacing w:line="360" w:lineRule="auto"/>
        <w:rPr>
          <w:rFonts w:ascii="Arial" w:hAnsi="Arial" w:cs="Arial"/>
          <w:sz w:val="22"/>
          <w:szCs w:val="22"/>
        </w:rPr>
      </w:pPr>
      <w:r w:rsidRPr="00967133">
        <w:rPr>
          <w:rFonts w:ascii="Arial" w:hAnsi="Arial" w:cs="Arial"/>
          <w:sz w:val="22"/>
          <w:szCs w:val="22"/>
        </w:rPr>
        <w:t xml:space="preserve">Many additional materials can be found on the </w:t>
      </w:r>
      <w:r w:rsidRPr="00967133">
        <w:rPr>
          <w:rFonts w:ascii="Arial" w:hAnsi="Arial" w:cs="Arial"/>
          <w:sz w:val="22"/>
          <w:szCs w:val="22"/>
        </w:rPr>
        <w:t xml:space="preserve">DDRF </w:t>
      </w:r>
      <w:r w:rsidRPr="00967133">
        <w:rPr>
          <w:rFonts w:ascii="Arial" w:hAnsi="Arial" w:cs="Arial"/>
          <w:sz w:val="22"/>
          <w:szCs w:val="22"/>
        </w:rPr>
        <w:t xml:space="preserve">project website including short video tutorials, webinars, and teaching materials that use slightly different examples and activities. They are available at: </w:t>
      </w:r>
      <w:hyperlink r:id="rId13" w:history="1">
        <w:r w:rsidRPr="00967133">
          <w:rPr>
            <w:rStyle w:val="Hyperlink"/>
            <w:rFonts w:ascii="Arial" w:hAnsi="Arial" w:cs="Arial"/>
            <w:sz w:val="22"/>
            <w:szCs w:val="22"/>
          </w:rPr>
          <w:t>https://teach.htrc.illinois.edu/</w:t>
        </w:r>
      </w:hyperlink>
      <w:r w:rsidR="00933791">
        <w:rPr>
          <w:rFonts w:ascii="Arial" w:hAnsi="Arial" w:cs="Arial"/>
          <w:sz w:val="22"/>
          <w:szCs w:val="22"/>
        </w:rPr>
        <w:t>.</w:t>
      </w:r>
    </w:p>
    <w:p w:rsidR="00967133" w:rsidRDefault="00967133" w:rsidP="00967133">
      <w:pPr>
        <w:spacing w:line="360" w:lineRule="auto"/>
        <w:rPr>
          <w:rFonts w:ascii="Arial" w:hAnsi="Arial" w:cs="Arial"/>
          <w:sz w:val="22"/>
          <w:szCs w:val="22"/>
        </w:rPr>
      </w:pPr>
    </w:p>
    <w:p w:rsidR="00967133" w:rsidRPr="00967133" w:rsidRDefault="00967133" w:rsidP="00967133">
      <w:pPr>
        <w:spacing w:line="360" w:lineRule="auto"/>
        <w:rPr>
          <w:rFonts w:ascii="Arial" w:hAnsi="Arial" w:cs="Arial"/>
          <w:sz w:val="28"/>
          <w:szCs w:val="28"/>
        </w:rPr>
      </w:pPr>
      <w:r w:rsidRPr="00967133">
        <w:rPr>
          <w:rFonts w:ascii="Arial" w:hAnsi="Arial" w:cs="Arial"/>
          <w:sz w:val="28"/>
          <w:szCs w:val="28"/>
        </w:rPr>
        <w:t>Scheduling</w:t>
      </w:r>
    </w:p>
    <w:p w:rsidR="00967133" w:rsidRDefault="00967133" w:rsidP="00967133">
      <w:pPr>
        <w:pStyle w:val="ListParagraph"/>
        <w:numPr>
          <w:ilvl w:val="0"/>
          <w:numId w:val="8"/>
        </w:numPr>
        <w:spacing w:line="360" w:lineRule="auto"/>
        <w:rPr>
          <w:rFonts w:ascii="Arial" w:hAnsi="Arial" w:cs="Arial"/>
          <w:sz w:val="22"/>
          <w:szCs w:val="22"/>
        </w:rPr>
      </w:pPr>
      <w:r>
        <w:rPr>
          <w:rFonts w:ascii="Arial" w:hAnsi="Arial" w:cs="Arial"/>
          <w:sz w:val="22"/>
          <w:szCs w:val="22"/>
        </w:rPr>
        <w:t>Don’t schedule a workshop during HTRC’s monthly maintenance (every 2</w:t>
      </w:r>
      <w:r w:rsidRPr="00967133">
        <w:rPr>
          <w:rFonts w:ascii="Arial" w:hAnsi="Arial" w:cs="Arial"/>
          <w:sz w:val="22"/>
          <w:szCs w:val="22"/>
          <w:vertAlign w:val="superscript"/>
        </w:rPr>
        <w:t>nd</w:t>
      </w:r>
      <w:r>
        <w:rPr>
          <w:rFonts w:ascii="Arial" w:hAnsi="Arial" w:cs="Arial"/>
          <w:sz w:val="22"/>
          <w:szCs w:val="22"/>
        </w:rPr>
        <w:t xml:space="preserve"> Sunday and Monday of the month).</w:t>
      </w:r>
    </w:p>
    <w:p w:rsidR="00967133" w:rsidRDefault="00967133" w:rsidP="00967133">
      <w:pPr>
        <w:pStyle w:val="ListParagraph"/>
        <w:numPr>
          <w:ilvl w:val="0"/>
          <w:numId w:val="8"/>
        </w:numPr>
        <w:spacing w:line="360" w:lineRule="auto"/>
        <w:rPr>
          <w:rFonts w:ascii="Arial" w:hAnsi="Arial" w:cs="Arial"/>
          <w:sz w:val="22"/>
          <w:szCs w:val="22"/>
        </w:rPr>
      </w:pPr>
      <w:r>
        <w:rPr>
          <w:rFonts w:ascii="Arial" w:hAnsi="Arial" w:cs="Arial"/>
          <w:sz w:val="22"/>
          <w:szCs w:val="22"/>
        </w:rPr>
        <w:t>Please feel free to let us know when you have scheduled a training event so we can keep an eye on user tickets or account-creation issues.</w:t>
      </w:r>
    </w:p>
    <w:p w:rsidR="00967133" w:rsidRPr="00967133" w:rsidRDefault="00967133" w:rsidP="00967133">
      <w:pPr>
        <w:pStyle w:val="ListParagraph"/>
        <w:spacing w:line="360" w:lineRule="auto"/>
        <w:rPr>
          <w:rFonts w:ascii="Arial" w:hAnsi="Arial" w:cs="Arial"/>
          <w:sz w:val="22"/>
          <w:szCs w:val="22"/>
        </w:rPr>
      </w:pPr>
    </w:p>
    <w:sectPr w:rsidR="00967133" w:rsidRPr="00967133" w:rsidSect="0093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67A0"/>
    <w:multiLevelType w:val="hybridMultilevel"/>
    <w:tmpl w:val="8A0A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75E1A"/>
    <w:multiLevelType w:val="hybridMultilevel"/>
    <w:tmpl w:val="8D0A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D56D8"/>
    <w:multiLevelType w:val="hybridMultilevel"/>
    <w:tmpl w:val="59465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6ECF"/>
    <w:multiLevelType w:val="hybridMultilevel"/>
    <w:tmpl w:val="8CF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D6A34"/>
    <w:multiLevelType w:val="hybridMultilevel"/>
    <w:tmpl w:val="58D8C31C"/>
    <w:lvl w:ilvl="0" w:tplc="64AE0188">
      <w:start w:val="1"/>
      <w:numFmt w:val="bullet"/>
      <w:lvlText w:val=""/>
      <w:lvlJc w:val="left"/>
      <w:pPr>
        <w:ind w:left="720" w:hanging="360"/>
      </w:pPr>
      <w:rPr>
        <w:rFonts w:ascii="Gill Sans" w:hAnsi="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8180F"/>
    <w:multiLevelType w:val="hybridMultilevel"/>
    <w:tmpl w:val="7EBC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041A9"/>
    <w:multiLevelType w:val="hybridMultilevel"/>
    <w:tmpl w:val="7732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B60214"/>
    <w:multiLevelType w:val="hybridMultilevel"/>
    <w:tmpl w:val="ABD0FD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77740"/>
    <w:multiLevelType w:val="hybridMultilevel"/>
    <w:tmpl w:val="5020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E1"/>
    <w:rsid w:val="003144E7"/>
    <w:rsid w:val="004608B4"/>
    <w:rsid w:val="00472CDB"/>
    <w:rsid w:val="00515A36"/>
    <w:rsid w:val="005E049D"/>
    <w:rsid w:val="006669B0"/>
    <w:rsid w:val="006A502E"/>
    <w:rsid w:val="009304C4"/>
    <w:rsid w:val="00933791"/>
    <w:rsid w:val="00967133"/>
    <w:rsid w:val="00BC01E1"/>
    <w:rsid w:val="00C61938"/>
    <w:rsid w:val="00E662C0"/>
    <w:rsid w:val="00F904BD"/>
    <w:rsid w:val="00FD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E3C2"/>
  <w15:chartTrackingRefBased/>
  <w15:docId w15:val="{ABB64505-A3EF-E04F-9509-07A22DA6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E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1E1"/>
    <w:rPr>
      <w:rFonts w:eastAsiaTheme="minorEastAsia"/>
    </w:rPr>
  </w:style>
  <w:style w:type="paragraph" w:styleId="ListParagraph">
    <w:name w:val="List Paragraph"/>
    <w:basedOn w:val="Normal"/>
    <w:uiPriority w:val="34"/>
    <w:qFormat/>
    <w:rsid w:val="003144E7"/>
    <w:pPr>
      <w:ind w:left="720"/>
      <w:contextualSpacing/>
    </w:pPr>
  </w:style>
  <w:style w:type="table" w:styleId="TableGrid">
    <w:name w:val="Table Grid"/>
    <w:basedOn w:val="TableNormal"/>
    <w:uiPriority w:val="39"/>
    <w:rsid w:val="00472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9B0"/>
    <w:rPr>
      <w:color w:val="0563C1" w:themeColor="hyperlink"/>
      <w:u w:val="single"/>
    </w:rPr>
  </w:style>
  <w:style w:type="character" w:styleId="UnresolvedMention">
    <w:name w:val="Unresolved Mention"/>
    <w:basedOn w:val="DefaultParagraphFont"/>
    <w:uiPriority w:val="99"/>
    <w:semiHidden/>
    <w:unhideWhenUsed/>
    <w:rsid w:val="006669B0"/>
    <w:rPr>
      <w:color w:val="605E5C"/>
      <w:shd w:val="clear" w:color="auto" w:fill="E1DFDD"/>
    </w:rPr>
  </w:style>
  <w:style w:type="character" w:styleId="FollowedHyperlink">
    <w:name w:val="FollowedHyperlink"/>
    <w:basedOn w:val="DefaultParagraphFont"/>
    <w:uiPriority w:val="99"/>
    <w:semiHidden/>
    <w:unhideWhenUsed/>
    <w:rsid w:val="00967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898">
      <w:bodyDiv w:val="1"/>
      <w:marLeft w:val="0"/>
      <w:marRight w:val="0"/>
      <w:marTop w:val="0"/>
      <w:marBottom w:val="0"/>
      <w:divBdr>
        <w:top w:val="none" w:sz="0" w:space="0" w:color="auto"/>
        <w:left w:val="none" w:sz="0" w:space="0" w:color="auto"/>
        <w:bottom w:val="none" w:sz="0" w:space="0" w:color="auto"/>
        <w:right w:val="none" w:sz="0" w:space="0" w:color="auto"/>
      </w:divBdr>
    </w:div>
    <w:div w:id="22554882">
      <w:bodyDiv w:val="1"/>
      <w:marLeft w:val="0"/>
      <w:marRight w:val="0"/>
      <w:marTop w:val="0"/>
      <w:marBottom w:val="0"/>
      <w:divBdr>
        <w:top w:val="none" w:sz="0" w:space="0" w:color="auto"/>
        <w:left w:val="none" w:sz="0" w:space="0" w:color="auto"/>
        <w:bottom w:val="none" w:sz="0" w:space="0" w:color="auto"/>
        <w:right w:val="none" w:sz="0" w:space="0" w:color="auto"/>
      </w:divBdr>
    </w:div>
    <w:div w:id="84766472">
      <w:bodyDiv w:val="1"/>
      <w:marLeft w:val="0"/>
      <w:marRight w:val="0"/>
      <w:marTop w:val="0"/>
      <w:marBottom w:val="0"/>
      <w:divBdr>
        <w:top w:val="none" w:sz="0" w:space="0" w:color="auto"/>
        <w:left w:val="none" w:sz="0" w:space="0" w:color="auto"/>
        <w:bottom w:val="none" w:sz="0" w:space="0" w:color="auto"/>
        <w:right w:val="none" w:sz="0" w:space="0" w:color="auto"/>
      </w:divBdr>
    </w:div>
    <w:div w:id="386145324">
      <w:bodyDiv w:val="1"/>
      <w:marLeft w:val="0"/>
      <w:marRight w:val="0"/>
      <w:marTop w:val="0"/>
      <w:marBottom w:val="0"/>
      <w:divBdr>
        <w:top w:val="none" w:sz="0" w:space="0" w:color="auto"/>
        <w:left w:val="none" w:sz="0" w:space="0" w:color="auto"/>
        <w:bottom w:val="none" w:sz="0" w:space="0" w:color="auto"/>
        <w:right w:val="none" w:sz="0" w:space="0" w:color="auto"/>
      </w:divBdr>
    </w:div>
    <w:div w:id="584535364">
      <w:bodyDiv w:val="1"/>
      <w:marLeft w:val="0"/>
      <w:marRight w:val="0"/>
      <w:marTop w:val="0"/>
      <w:marBottom w:val="0"/>
      <w:divBdr>
        <w:top w:val="none" w:sz="0" w:space="0" w:color="auto"/>
        <w:left w:val="none" w:sz="0" w:space="0" w:color="auto"/>
        <w:bottom w:val="none" w:sz="0" w:space="0" w:color="auto"/>
        <w:right w:val="none" w:sz="0" w:space="0" w:color="auto"/>
      </w:divBdr>
    </w:div>
    <w:div w:id="754057666">
      <w:bodyDiv w:val="1"/>
      <w:marLeft w:val="0"/>
      <w:marRight w:val="0"/>
      <w:marTop w:val="0"/>
      <w:marBottom w:val="0"/>
      <w:divBdr>
        <w:top w:val="none" w:sz="0" w:space="0" w:color="auto"/>
        <w:left w:val="none" w:sz="0" w:space="0" w:color="auto"/>
        <w:bottom w:val="none" w:sz="0" w:space="0" w:color="auto"/>
        <w:right w:val="none" w:sz="0" w:space="0" w:color="auto"/>
      </w:divBdr>
    </w:div>
    <w:div w:id="1087534595">
      <w:bodyDiv w:val="1"/>
      <w:marLeft w:val="0"/>
      <w:marRight w:val="0"/>
      <w:marTop w:val="0"/>
      <w:marBottom w:val="0"/>
      <w:divBdr>
        <w:top w:val="none" w:sz="0" w:space="0" w:color="auto"/>
        <w:left w:val="none" w:sz="0" w:space="0" w:color="auto"/>
        <w:bottom w:val="none" w:sz="0" w:space="0" w:color="auto"/>
        <w:right w:val="none" w:sz="0" w:space="0" w:color="auto"/>
      </w:divBdr>
    </w:div>
    <w:div w:id="1142772217">
      <w:bodyDiv w:val="1"/>
      <w:marLeft w:val="0"/>
      <w:marRight w:val="0"/>
      <w:marTop w:val="0"/>
      <w:marBottom w:val="0"/>
      <w:divBdr>
        <w:top w:val="none" w:sz="0" w:space="0" w:color="auto"/>
        <w:left w:val="none" w:sz="0" w:space="0" w:color="auto"/>
        <w:bottom w:val="none" w:sz="0" w:space="0" w:color="auto"/>
        <w:right w:val="none" w:sz="0" w:space="0" w:color="auto"/>
      </w:divBdr>
    </w:div>
    <w:div w:id="17064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illinois.edu/htrc-workshop" TargetMode="External"/><Relationship Id="rId13" Type="http://schemas.openxmlformats.org/officeDocument/2006/relationships/hyperlink" Target="https://teach.htrc.illinois.edu/" TargetMode="External"/><Relationship Id="rId3" Type="http://schemas.openxmlformats.org/officeDocument/2006/relationships/settings" Target="settings.xml"/><Relationship Id="rId7" Type="http://schemas.openxmlformats.org/officeDocument/2006/relationships/hyperlink" Target="https://go.illinois.edu/htrc-workshop" TargetMode="External"/><Relationship Id="rId12" Type="http://schemas.openxmlformats.org/officeDocument/2006/relationships/hyperlink" Target="https://www.youtube.com/watch?v=Vq6E9u67G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fi.box.com/v/HTRC-fall2019" TargetMode="External"/><Relationship Id="rId11" Type="http://schemas.openxmlformats.org/officeDocument/2006/relationships/hyperlink" Target="https://wiki.htrc.illinois.edu/display/COM/Glossary"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iki.htrc.illinois.edu/display/COM/Further+reading" TargetMode="External"/><Relationship Id="rId4" Type="http://schemas.openxmlformats.org/officeDocument/2006/relationships/webSettings" Target="webSettings.xml"/><Relationship Id="rId9" Type="http://schemas.openxmlformats.org/officeDocument/2006/relationships/hyperlink" Target="https://mybinder.readthedocs.io/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2019-09-27T15:03:00Z</dcterms:created>
  <dcterms:modified xsi:type="dcterms:W3CDTF">2019-09-27T16:53:00Z</dcterms:modified>
</cp:coreProperties>
</file>